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9AA9" w14:textId="6E6E6E56" w:rsidR="00012AE9" w:rsidRPr="00012AE9" w:rsidRDefault="00012AE9" w:rsidP="00012AE9">
      <w:pPr>
        <w:jc w:val="center"/>
        <w:rPr>
          <w:b/>
          <w:bCs/>
        </w:rPr>
      </w:pPr>
      <w:bookmarkStart w:id="0" w:name="_Toc145872944"/>
      <w:bookmarkStart w:id="1" w:name="_Toc145873256"/>
      <w:r w:rsidRPr="00012AE9">
        <w:rPr>
          <w:b/>
          <w:bCs/>
        </w:rPr>
        <w:t>Apéndice A. Análisis de Macroentorno</w:t>
      </w:r>
    </w:p>
    <w:p w14:paraId="027CB70E" w14:textId="77777777" w:rsidR="00012AE9" w:rsidRDefault="00012AE9" w:rsidP="00012AE9">
      <w:pPr>
        <w:pStyle w:val="Ttulo1"/>
      </w:pPr>
      <w:r w:rsidRPr="00E5276F">
        <w:t>Análisis del Macroentorno (PESTEL)</w:t>
      </w:r>
      <w:bookmarkEnd w:id="0"/>
      <w:bookmarkEnd w:id="1"/>
    </w:p>
    <w:p w14:paraId="33D3B9D7" w14:textId="77777777" w:rsidR="00012AE9" w:rsidRPr="00E5276F" w:rsidRDefault="00012AE9" w:rsidP="00012AE9">
      <w:pPr>
        <w:pStyle w:val="Ttulo2"/>
      </w:pPr>
      <w:bookmarkStart w:id="2" w:name="_Toc145872945"/>
      <w:bookmarkStart w:id="3" w:name="_Toc145873257"/>
      <w:r w:rsidRPr="00E5276F">
        <w:t>Entorno Político</w:t>
      </w:r>
      <w:bookmarkEnd w:id="2"/>
      <w:bookmarkEnd w:id="3"/>
    </w:p>
    <w:p w14:paraId="5C8D2E5B" w14:textId="77777777" w:rsidR="00012AE9" w:rsidRPr="00E5276F" w:rsidRDefault="00012AE9" w:rsidP="00012AE9">
      <w:pPr>
        <w:pStyle w:val="Sinespaciado"/>
      </w:pPr>
      <w:r w:rsidRPr="00E5276F">
        <w:t>El país donde se crea el presente plan de negocio es Colombia. De acuerdo con el artículo primero de la Constitución Política Colombiana de 1991, Colombia es una república unitaria y descentralizada con 32 departamentos y una capital de distrito. De igual forma, el sistema de gobierno colombiano se caracteriza por el mandato de la presidencia a partir de una elección por voto popular.</w:t>
      </w:r>
    </w:p>
    <w:p w14:paraId="2F385208" w14:textId="77777777" w:rsidR="00012AE9" w:rsidRPr="00E5276F" w:rsidRDefault="00012AE9" w:rsidP="00012AE9">
      <w:pPr>
        <w:pStyle w:val="Sinespaciado"/>
      </w:pPr>
      <w:r w:rsidRPr="00E5276F">
        <w:t>En el entorno político actual, el presidente de Colombia es Gustavo Petro. Desde que asumió la presidencia, Petro ha implementado políticas que buscan fomentar la inversión en la economía y promover el desarrollo de emprendimientos en diferentes sectores económicos. Bajo su mandato, se ha impulsado una agenda que busca diversificar la economía colombiana más allá de la guerra y la lucha contra las drogas.</w:t>
      </w:r>
    </w:p>
    <w:p w14:paraId="1EAFCD88" w14:textId="77777777" w:rsidR="00012AE9" w:rsidRPr="00E5276F" w:rsidRDefault="00012AE9" w:rsidP="00012AE9">
      <w:pPr>
        <w:pStyle w:val="Sinespaciado"/>
        <w:rPr>
          <w:szCs w:val="24"/>
        </w:rPr>
      </w:pPr>
      <w:r w:rsidRPr="00E5276F">
        <w:t>El gobierno de Petro ha adoptado un enfoque optimista hacia el desarrollo económico y ha buscado fortalecer la confianza de los inversionistas tanto nacionales como extranjeros. Se han implementado políticas que promueven la creación de empleo, la protección de los derechos laborales, la reducción de la brecha económica y el impulso de sectores clave como la agricultura sostenible, la tecnología, el turismo y las energías renovables. Además, se han realizado esfuerzos para mejorar el clima de negocios en el país, simplificando trámites burocráticos, promoviendo la transparencia y combatiendo la corrupción. El gobierno ha establecido alianzas con el sector privado y ha creado programas de apoyo financiero y técnico para emprendedores y pequeñas empresas.</w:t>
      </w:r>
      <w:r w:rsidRPr="00E5276F">
        <w:rPr>
          <w:szCs w:val="24"/>
        </w:rPr>
        <w:t xml:space="preserve"> </w:t>
      </w:r>
    </w:p>
    <w:p w14:paraId="596C9EF7" w14:textId="77777777" w:rsidR="00012AE9" w:rsidRPr="00E5276F" w:rsidRDefault="00012AE9" w:rsidP="00012AE9">
      <w:pPr>
        <w:pStyle w:val="Sinespaciado"/>
        <w:rPr>
          <w:szCs w:val="24"/>
        </w:rPr>
      </w:pPr>
      <w:r w:rsidRPr="00E5276F">
        <w:rPr>
          <w:szCs w:val="24"/>
        </w:rPr>
        <w:lastRenderedPageBreak/>
        <w:t>A nivel gubernamental en el departamento de la Guajira se han puesto en marcha distintas estrategias buscando mejorar la competitividad del sector turismo del departamento. Desde el 2014 con la promoción del Plan de Desarrollo Turístico del Departamento, liderado por la Dirección de Turismo Departamental, se han generado estrategias enfocadas en el sector. Inicialmente, se consolidó la ruta competitiva de La Guajira que se centró en el Turismo étnico, ecológico y de aventura. En el marco de esta estrategia se identificaron y apoyaron actores claves como la Universidad de la Guajira, el SENA y Corpoguajira que actualmente ofrecen programas de formación para el empleo y cualificación de capital humano para fortalecer el empresariado turístico. También, se apoyaron diferentes operadores turísticos buscando fortalecerse y tecnificarse con el fin de ofrecer una propuesta de mayor valor a los turistas (Martinez, 2021).</w:t>
      </w:r>
    </w:p>
    <w:p w14:paraId="371B4B4A" w14:textId="77777777" w:rsidR="00012AE9" w:rsidRPr="00E5276F" w:rsidRDefault="00012AE9" w:rsidP="00012AE9">
      <w:pPr>
        <w:pStyle w:val="Sinespaciado"/>
        <w:rPr>
          <w:szCs w:val="24"/>
        </w:rPr>
      </w:pPr>
      <w:r w:rsidRPr="00E5276F">
        <w:rPr>
          <w:szCs w:val="24"/>
        </w:rPr>
        <w:t xml:space="preserve">Actualmente, la Asociación Nacional de Agencias de Viaje y Turismo (Anato) y la Gobernación de La Guajira, lanzaron el proyecto “La Guajira, Tradición y Encanto” buscando incentivar la economía basada en las capacidades turísticas, culturales y gastronómicas que ofrece la región. Según Marian Suad Maloof, directora ejecutiva de Anato Capitulo Caribe, se busca “implementar una estrategia de apropiación social del conocimiento para el fortalecimiento del sector turístico, cultural y gastronómico en el departamento”. Asimismo, dentro de este proyecto se incluyen a los municipios de Albania, Maicao, </w:t>
      </w:r>
      <w:proofErr w:type="spellStart"/>
      <w:r w:rsidRPr="00E5276F">
        <w:rPr>
          <w:szCs w:val="24"/>
        </w:rPr>
        <w:t>Hatonuevo</w:t>
      </w:r>
      <w:proofErr w:type="spellEnd"/>
      <w:r w:rsidRPr="00E5276F">
        <w:rPr>
          <w:szCs w:val="24"/>
        </w:rPr>
        <w:t xml:space="preserve">, Barrancas, Fonseca, Distracción, El Molino, San Juan del Cesar, Villanueva, Urumita y La Jagua del Pilar (El Heraldo, 2022), algunas de estas poblaciones ubicadas al sur del departamento. Dichos municipios son privilegiados por la naturaleza, y poseen una relativa cercanía con Valledupar, capital del departamento del Cesar. La belleza ecológica de estos municipios se debe fundamentalmente a los ríos que vienen de la Serranía del Perijá, creando una serie de balnearios y hermosos paisajes. </w:t>
      </w:r>
    </w:p>
    <w:p w14:paraId="2D241C64" w14:textId="77777777" w:rsidR="00012AE9" w:rsidRPr="00E5276F" w:rsidRDefault="00012AE9" w:rsidP="00012AE9">
      <w:pPr>
        <w:pStyle w:val="Ttulo2"/>
      </w:pPr>
      <w:bookmarkStart w:id="4" w:name="_Toc145872946"/>
      <w:bookmarkStart w:id="5" w:name="_Toc145873258"/>
      <w:r w:rsidRPr="00E5276F">
        <w:lastRenderedPageBreak/>
        <w:t>Entorno Económico</w:t>
      </w:r>
      <w:bookmarkEnd w:id="4"/>
      <w:bookmarkEnd w:id="5"/>
    </w:p>
    <w:p w14:paraId="5D61FF3E" w14:textId="77777777" w:rsidR="00012AE9" w:rsidRPr="00E5276F" w:rsidRDefault="00012AE9" w:rsidP="00012AE9">
      <w:pPr>
        <w:pStyle w:val="Sinespaciado"/>
      </w:pPr>
      <w:r w:rsidRPr="00E5276F">
        <w:t>La economía colombiana, al igual que muchas otras economías en el mundo, se vio afectada significativamente por la crisis económica generada por la pandemia del virus COVID-19 a partir de marzo de 2020. No obstante, desde el gobierno se implementaron acciones inmediatas y decisivas para proteger los recursos físicos y humanos. A medida que avanzó el tiempo, se comenzó a observar una recuperación gradual de la actividad económica. Según el informe del Banco Mundial de junio de 2021, la economía colombiana ya mostraba niveles de actividad similares a los registrados a finales de 2019, a pesar de las restricciones de movilidad implementadas en abril y las protestas sociales que tuvieron lugar en mayo. Estas fechas son indicativas de los esfuerzos realizados por el gobierno y la sociedad colombiana para impulsar la recuperación económica (Banco Mundial, 2021).</w:t>
      </w:r>
    </w:p>
    <w:p w14:paraId="1389E257" w14:textId="77777777" w:rsidR="00012AE9" w:rsidRPr="00E5276F" w:rsidRDefault="00012AE9" w:rsidP="00012AE9">
      <w:pPr>
        <w:pStyle w:val="Sinespaciado"/>
      </w:pPr>
      <w:r w:rsidRPr="00E5276F">
        <w:t>Además, el gobierno colombiano ha trabajado en colaboración con el sector privado para promover la recuperación económica. Se han implementado políticas para fomentar la inversión, apoyar a las pequeñas y medianas empresas y promover la creación de empleo. Asimismo, se han adoptado medidas para proteger los derechos laborales y reducir la brecha económica. Se ha puesto énfasis en la diversificación de la economía colombiana, con enfoque en sectores como la agricultura sostenible, la tecnología, el turismo y las energías renovables. Estas medidas buscan fortalecer la resiliencia económica y reducir la dependencia de sectores tradicionales. Si bien la recuperación económica sigue siendo un desafío, el gobierno y las autoridades colombianas continúan trabajando para superar la crisis y promover el desarrollo económico. El informe del Banco Mundial destaca los avances logrados hasta la fecha y ofrece perspectivas positivas para el entorno económico y el desarrollo de emprendimientos en Colombia (Banco Mundial, 2021).</w:t>
      </w:r>
    </w:p>
    <w:p w14:paraId="2BBCDDE7" w14:textId="77777777" w:rsidR="00012AE9" w:rsidRPr="00E5276F" w:rsidRDefault="00012AE9" w:rsidP="00012AE9">
      <w:pPr>
        <w:pStyle w:val="Sinespaciado"/>
        <w:rPr>
          <w:szCs w:val="24"/>
        </w:rPr>
      </w:pPr>
      <w:r w:rsidRPr="00E5276F">
        <w:rPr>
          <w:szCs w:val="24"/>
        </w:rPr>
        <w:lastRenderedPageBreak/>
        <w:t>El departamento de la Guajira, lugar donde se plantea el desarrollo del presente proyecto, posee una alta valoración en sectores claves como el turismo. La Guajira cuenta con una gran riqueza natural que atrae a turistas nacionales y extranjeros, principalmente por sus playas, paisajes desérticos, turismo de aventura y toda la cultura y misticismo propia de la tierra ancestral Wayuu (Radio Nacional, 2022). Sin embargo, una gran parte de esta belleza ecológica esta si explotar. Junto a las exóticas playas altamente visitadas en la zona norte del departamento, la zona sur de La Guajira entrega un clima más húmedo gracias a su cercanía con la Sierra Nevada de Santa Marta y la Serranía del Perijá, lo que proporciona una exuberante mezcla entre en flora y fauna. Estas cualidades de riqueza, diversidad y cultura son un espacio potencial para el turismo y el progreso económico de la región (Salazar, 2021).</w:t>
      </w:r>
    </w:p>
    <w:p w14:paraId="0799A689" w14:textId="77777777" w:rsidR="00012AE9" w:rsidRPr="00E5276F" w:rsidRDefault="00012AE9" w:rsidP="00012AE9">
      <w:pPr>
        <w:pStyle w:val="Sinespaciado"/>
        <w:rPr>
          <w:szCs w:val="24"/>
        </w:rPr>
      </w:pPr>
      <w:r w:rsidRPr="00E5276F">
        <w:rPr>
          <w:szCs w:val="24"/>
        </w:rPr>
        <w:t>Ya propiamente del sector turismo, Cómo se puede observar en el entorno político, el departamento de la Guajira se empieza a consolidar en el sector turismo como una gran alternativa. Todo esto brinda un panorama alentador a negocios emergentes que permitan aprovechar este ecosistema formativo y de promoción en el sector. Como problemática clave por solucionar, vale la pena destacar que la cadena de valor del turismo en La Guajira es altamente excluyente y focalizada, dejando por fuera de los beneficios resultantes de su operación a un gran sector de la población del departamento. Esto impide el desarrollo de alianzas estratégicas entre actores claves y que se genere un valor compartido con poblaciones marginadas de la región.</w:t>
      </w:r>
    </w:p>
    <w:p w14:paraId="2C96916A" w14:textId="77777777" w:rsidR="00012AE9" w:rsidRPr="00E5276F" w:rsidRDefault="00012AE9" w:rsidP="00012AE9">
      <w:pPr>
        <w:pStyle w:val="Ttulo2"/>
      </w:pPr>
      <w:bookmarkStart w:id="6" w:name="_Toc145872947"/>
      <w:bookmarkStart w:id="7" w:name="_Toc145873259"/>
      <w:r w:rsidRPr="00E5276F">
        <w:t>Entorno Social</w:t>
      </w:r>
      <w:bookmarkEnd w:id="6"/>
      <w:bookmarkEnd w:id="7"/>
    </w:p>
    <w:p w14:paraId="27555977" w14:textId="77777777" w:rsidR="00012AE9" w:rsidRPr="00E5276F" w:rsidRDefault="00012AE9" w:rsidP="00012AE9">
      <w:pPr>
        <w:pStyle w:val="Sinespaciado"/>
      </w:pPr>
      <w:r w:rsidRPr="00E5276F">
        <w:t xml:space="preserve">Según los datos recopilados por el Departamento Administrativo Nacional de Estadística (DANE) en su censo nacional de 2018, la población total de Colombia se estima en alrededor de 48,2 millones de habitantes. De este total, aproximadamente el 51,2% son mujeres y el 48,8% son hombres. Además, se registraron alrededor de 15'448.285 personas </w:t>
      </w:r>
      <w:r w:rsidRPr="00E5276F">
        <w:lastRenderedPageBreak/>
        <w:t>menores de edad, lo que representa el 31,3% de la población, y 5'752.958 personas mayores de 60 años, lo que equivale al 11,7%. En relación con la estructura familiar, el censo reveló un cambio significativo, ya que se observó una reducción en el tamaño promedio de las familias colombianas. En 2008, la media era de 4 personas por familia, mientras que en 2018 se redujo a 3,1 personas. Este fenómeno refleja un cambio en las preferencias familiares y una disminución en el número de hijos en comparación con décadas anteriores (DANE, 2018).</w:t>
      </w:r>
    </w:p>
    <w:p w14:paraId="1055E86D" w14:textId="77777777" w:rsidR="00012AE9" w:rsidRPr="00E5276F" w:rsidRDefault="00012AE9" w:rsidP="00012AE9">
      <w:pPr>
        <w:pStyle w:val="Sinespaciado"/>
      </w:pPr>
      <w:r w:rsidRPr="00E5276F">
        <w:t>La Guajira, situada en la región norte de Colombia, es un territorio caracterizado por su diversidad geográfica y cultural. La población de La Guajira está compuesta por comunidades indígenas wayuu y mestizas (DANE, 2018). La cultura wayuu es una parte integral de la identidad de La Guajira. Sus tradiciones, artesanías, música y danzas son elementos importantes que deben ser considerados en el proyecto (González, 2017). Siendo esencial establecer una comunicación cercana y respetuosa con las comunidades indígenas, involucrándolas activamente en el diseño y desarrollo de cualquier proyecto.</w:t>
      </w:r>
    </w:p>
    <w:p w14:paraId="4AC247EF" w14:textId="77777777" w:rsidR="00012AE9" w:rsidRPr="00E5276F" w:rsidRDefault="00012AE9" w:rsidP="00012AE9">
      <w:pPr>
        <w:pStyle w:val="Sinespaciado"/>
      </w:pPr>
      <w:r w:rsidRPr="00E5276F">
        <w:t>Por otro lado, La Guajira enfrenta desafíos socioeconómicos, como altos índices de pobreza y falta de acceso a servicios básicos. Así pues, diversos proyectos, como el de ciclomontañismo, contribuyen a mejorar estas condiciones al generar actividad económica y promover el desarrollo local. No obstante, es fundamental tener en cuenta la equidad y la inclusión social al planificar y ejecutar el proyecto.</w:t>
      </w:r>
    </w:p>
    <w:p w14:paraId="1A4E675B" w14:textId="77777777" w:rsidR="00012AE9" w:rsidRPr="00E5276F" w:rsidRDefault="00012AE9" w:rsidP="00012AE9">
      <w:pPr>
        <w:pStyle w:val="Sinespaciado"/>
      </w:pPr>
      <w:r w:rsidRPr="00E5276F">
        <w:t xml:space="preserve">A nivel internacional, en 2016, tuvo lugar la conferencia Hábitat III, la cual resultó en la aprobación de La Nueva Agenda Urbana (NAU) por parte de los miembros de la ONU. Este documento establece compromisos para transformar el paradigma urbano basado en las dimensiones del desarrollo sostenible: social, económica y ambiental. Entre los compromisos planteados se encuentra la promoción de ciudades más compactas para contrarrestar el </w:t>
      </w:r>
      <w:r w:rsidRPr="00E5276F">
        <w:lastRenderedPageBreak/>
        <w:t>crecimiento desproporcionado de las ciudades, que ha llegado a ser hasta cinco veces mayor que la población, generando problemas en la provisión de servicios y aumentando las emisiones contaminantes (Naciones Unidas, 2016).</w:t>
      </w:r>
    </w:p>
    <w:p w14:paraId="4CDFC521" w14:textId="77777777" w:rsidR="00012AE9" w:rsidRPr="00E5276F" w:rsidRDefault="00012AE9" w:rsidP="00012AE9">
      <w:pPr>
        <w:pStyle w:val="Sinespaciado"/>
      </w:pPr>
      <w:r w:rsidRPr="00E5276F">
        <w:t>La dimensión ambiental también se ha integrado en la planificación urbana, reconociendo que las ciudades representan alrededor del 2% de la superficie terrestre y generan más del 70% de las emisiones de gases de efecto invernadero. En este sentido, se plantea la necesidad de reducir el uso de vehículos motorizados, fomentando el uso de la bicicleta y el transporte público como diferencias clave en comparación con el acuerdo de Hábitat II (</w:t>
      </w:r>
      <w:r w:rsidRPr="00E5276F">
        <w:rPr>
          <w:color w:val="000000"/>
        </w:rPr>
        <w:t>Linde, 2016</w:t>
      </w:r>
      <w:r w:rsidRPr="00E5276F">
        <w:t>).</w:t>
      </w:r>
    </w:p>
    <w:p w14:paraId="3F9A703C" w14:textId="77777777" w:rsidR="00012AE9" w:rsidRPr="00E5276F" w:rsidRDefault="00012AE9" w:rsidP="00012AE9">
      <w:pPr>
        <w:pStyle w:val="Sinespaciado"/>
      </w:pPr>
      <w:r w:rsidRPr="00E5276F">
        <w:t>En términos de reducción de desigualdades y el derecho a la ciudad, la NAU subraya la importancia de las ciudades sostenibles para mitigar la pobreza, reducir las desigualdades y promover el desarrollo económico, garantizando el acceso a los servicios de la ciudad sin discriminación. La movilidad, en la mayoría de los casos, es fundamental para acceder a oportunidades educativas, de salud, profesionales, culturales y de ocio, lo que destaca la importancia de la bicicleta como un factor clave para mejorar la calidad de vida. En términos de enfoques de planificación urbana, el Desarrollo Orientado al Transporte Sostenible (DOTS) promueve la promoción de espacios peatonales, el fomento del transporte no motorizado como la bicicleta, la densificación y compactación de las ciudades para evitar la expansión descontrolada y reducir la dependencia del automóvil, y la mezcla de usos para acercar el trabajo y la vivienda (</w:t>
      </w:r>
      <w:r w:rsidRPr="00E5276F">
        <w:rPr>
          <w:color w:val="000000"/>
        </w:rPr>
        <w:t>Linde, 2016</w:t>
      </w:r>
      <w:r w:rsidRPr="00E5276F">
        <w:t>).</w:t>
      </w:r>
    </w:p>
    <w:p w14:paraId="22D08132" w14:textId="77777777" w:rsidR="00012AE9" w:rsidRPr="00E5276F" w:rsidRDefault="00012AE9" w:rsidP="00012AE9">
      <w:pPr>
        <w:pStyle w:val="Ttulo2"/>
      </w:pPr>
      <w:bookmarkStart w:id="8" w:name="_Toc145872948"/>
      <w:bookmarkStart w:id="9" w:name="_Toc145873260"/>
      <w:r w:rsidRPr="00E5276F">
        <w:t>Entorno Ecológico</w:t>
      </w:r>
      <w:bookmarkEnd w:id="8"/>
      <w:bookmarkEnd w:id="9"/>
    </w:p>
    <w:p w14:paraId="33F91503" w14:textId="77777777" w:rsidR="00012AE9" w:rsidRPr="00E5276F" w:rsidRDefault="00012AE9" w:rsidP="00012AE9">
      <w:pPr>
        <w:pStyle w:val="Sinespaciado"/>
      </w:pPr>
      <w:r w:rsidRPr="00E5276F">
        <w:t xml:space="preserve">La disminución de la biodiversidad y los servicios ecosistémicos a nivel mundial representa un desafío para el desarrollo, especialmente en los países de ingreso bajo. Según el informe del Banco Mundial (2022), titulado "The Economic Case for Nature", se estima </w:t>
      </w:r>
      <w:r w:rsidRPr="00E5276F">
        <w:lastRenderedPageBreak/>
        <w:t>que el colapso de servicios clave como la polinización silvestre, la pesca marina y la madera de los bosques nativos podría resultar en una disminución significativa del PIB mundial de hasta USD 2,7 billones para 2030, con impactos más pronunciados en los países de ingreso bajo y mediano.</w:t>
      </w:r>
    </w:p>
    <w:p w14:paraId="75A7D041" w14:textId="77777777" w:rsidR="00012AE9" w:rsidRPr="00E5276F" w:rsidRDefault="00012AE9" w:rsidP="00012AE9">
      <w:pPr>
        <w:pStyle w:val="Sinespaciado"/>
      </w:pPr>
      <w:r w:rsidRPr="00E5276F">
        <w:t>Las políticas inteligentes relacionadas con la naturaleza pueden mitigar el colapso de los ecosistemas, mejorar la biodiversidad y fomentar el desarrollo económico. Es crucial combinar políticas coordinadas que respalden la innovación y aprovechar las sinergias entre los programas de naturaleza y cambio climático para promover un desarrollo verde e inclusivo. Sin embargo, la degradación acelerada de los ecosistemas, la mala gestión de los recursos naturales y la pérdida de biodiversidad tienen impactos significativos en la salud humana y en la economía, con pérdidas económicas considerables (Banco Mundial, 2022).</w:t>
      </w:r>
    </w:p>
    <w:p w14:paraId="41ED4859" w14:textId="77777777" w:rsidR="00012AE9" w:rsidRPr="00E5276F" w:rsidRDefault="00012AE9" w:rsidP="00012AE9">
      <w:pPr>
        <w:pStyle w:val="Sinespaciado"/>
        <w:rPr>
          <w:color w:val="000000"/>
          <w:shd w:val="clear" w:color="auto" w:fill="FFFFFF"/>
        </w:rPr>
      </w:pPr>
      <w:r w:rsidRPr="00E5276F">
        <w:t xml:space="preserve">Por su parte, Colombia es un país con una rica biodiversidad, destacándose por tener la mayor cantidad de especies de flora y fauna del mundo. Sus ecosistemas abarcan una amplia variedad, desde selvas tropicales hasta zonas costeras. En diferentes regiones, se encuentran árboles altos y siempre verdes, enredaderas leñosas, plantas medicinales y alimenticias, y manglares en las áreas costeras. En las zonas de clima semihúmedo, la vegetación está compuesta principalmente por pastos y árboles dispersos. La diversidad natural de Colombia es un tesoro invaluable que merece ser protegido y conservado </w:t>
      </w:r>
      <w:r w:rsidRPr="00E5276F">
        <w:rPr>
          <w:color w:val="000000"/>
          <w:shd w:val="clear" w:color="auto" w:fill="FFFFFF"/>
        </w:rPr>
        <w:t>(Secretaría de Cultura, Recreación y Deporte de Bogotá, 2023).</w:t>
      </w:r>
    </w:p>
    <w:p w14:paraId="46FD4630" w14:textId="77777777" w:rsidR="00012AE9" w:rsidRPr="00E5276F" w:rsidRDefault="00012AE9" w:rsidP="00012AE9">
      <w:pPr>
        <w:pStyle w:val="Sinespaciado"/>
        <w:rPr>
          <w:color w:val="000000"/>
          <w:shd w:val="clear" w:color="auto" w:fill="FFFFFF"/>
        </w:rPr>
      </w:pPr>
      <w:r w:rsidRPr="00E5276F">
        <w:rPr>
          <w:color w:val="000000"/>
          <w:shd w:val="clear" w:color="auto" w:fill="FFFFFF"/>
        </w:rPr>
        <w:t xml:space="preserve">Por todo lo anterior, en Colombia, se reconoce cada vez más la importancia de promover emprendimientos sostenibles que estén en armonía con el medio ambiente y el entorno ecológico del país. La rica biodiversidad y los diversos ecosistemas presentes en Colombia brindan una oportunidad única para desarrollar negocios que sean respetuosos con la naturaleza y generen un impacto positivo en las comunidades locales. Los </w:t>
      </w:r>
      <w:r w:rsidRPr="00E5276F">
        <w:rPr>
          <w:color w:val="000000"/>
          <w:shd w:val="clear" w:color="auto" w:fill="FFFFFF"/>
        </w:rPr>
        <w:lastRenderedPageBreak/>
        <w:t>emprendimientos sostenibles en sectores como el turismo ecológico, la agricultura orgánica, la energía renovable y la conservación de especies están emergiendo como alternativas que no solo protegen y preservan los recursos naturales, sino que también contribuyen al desarrollo económico y social del país. Estas iniciativas no solo generan empleo y promueven la equidad, sino que también fomentan la conciencia ambiental y la participación comunitaria en la protección de los valiosos activos naturales de Colombia. El impulso de emprendimientos sostenibles en el país no solo beneficia al medio ambiente, sino que también representa una oportunidad para construir una economía resiliente y una sociedad más consciente y comprometida con la conservación de su riqueza natural.</w:t>
      </w:r>
    </w:p>
    <w:p w14:paraId="7D7A80B1" w14:textId="77777777" w:rsidR="00012AE9" w:rsidRPr="00E5276F" w:rsidRDefault="00012AE9" w:rsidP="00012AE9">
      <w:pPr>
        <w:pStyle w:val="Ttulo2"/>
      </w:pPr>
      <w:bookmarkStart w:id="10" w:name="_Toc145872949"/>
      <w:bookmarkStart w:id="11" w:name="_Toc145873261"/>
      <w:r w:rsidRPr="00E5276F">
        <w:t>Entorno Legal</w:t>
      </w:r>
      <w:bookmarkEnd w:id="10"/>
      <w:bookmarkEnd w:id="11"/>
    </w:p>
    <w:p w14:paraId="5FA7FDA9" w14:textId="77777777" w:rsidR="00012AE9" w:rsidRPr="00E5276F" w:rsidRDefault="00012AE9" w:rsidP="00012AE9">
      <w:pPr>
        <w:pStyle w:val="Sinespaciado"/>
      </w:pPr>
      <w:r w:rsidRPr="00E5276F">
        <w:t xml:space="preserve">En el contexto del marco jurídico colombiano, se requiere tomar en consideración una variedad de regulaciones y controles que rigen la concepción y operación de un emprendimiento. Estas normativas son esenciales para garantizar el cumplimiento de las leyes, promover la transparencia y la responsabilidad empresarial, así como salvaguardar los derechos de los consumidores y proteger el medio ambiente. Entre las principales regulaciones se encuentran las relacionadas con el registro de la empresa, el pago de impuestos, las normas laborales, la propiedad intelectual y la protección de datos personales. Además, existen regulaciones específicas en diversos sectores, como el financiero, el ambiental, el sanitario y el de la propiedad industrial, entre otros. El cumplimiento de estas normativas no solo garantiza el adecuado funcionamiento de la empresa, sino que también genera confianza en los inversionistas y clientes, y contribuye al desarrollo sostenible y al fortalecimiento del entorno empresarial en Colombia. En este sentido, es fundamental que los emprendedores conozcan y comprendan estas regulaciones, y cuenten con asesoría legal especializada para asegurar el cumplimiento de estas y evitar posibles sanciones o </w:t>
      </w:r>
      <w:r w:rsidRPr="00E5276F">
        <w:lastRenderedPageBreak/>
        <w:t>inconvenientes legales en el futuro. Además, en Colombia, el ciclo montañismo se rige por diversas leyes y normativas que buscan regular y promover la práctica segura y responsable de este deporte. A continuación, se presentan algunas de las leyes y normas más relevantes para este proyecto:</w:t>
      </w:r>
    </w:p>
    <w:p w14:paraId="4ABB23DF" w14:textId="77777777" w:rsidR="00012AE9" w:rsidRPr="00E5276F" w:rsidRDefault="00012AE9" w:rsidP="00012AE9">
      <w:pPr>
        <w:pStyle w:val="Sinespaciado"/>
        <w:numPr>
          <w:ilvl w:val="0"/>
          <w:numId w:val="2"/>
        </w:numPr>
      </w:pPr>
      <w:r w:rsidRPr="00E5276F">
        <w:t>Constitución Política de Colombia. Principalmente, su artículo 38 sobre Libertad de Asociación, artículos 333 sobre Libertad Económica y 158 sobre Unidad de Materia.</w:t>
      </w:r>
    </w:p>
    <w:p w14:paraId="085BF5EF" w14:textId="77777777" w:rsidR="00012AE9" w:rsidRPr="00E5276F" w:rsidRDefault="00012AE9" w:rsidP="00012AE9">
      <w:pPr>
        <w:pStyle w:val="Sinespaciado"/>
        <w:numPr>
          <w:ilvl w:val="0"/>
          <w:numId w:val="2"/>
        </w:numPr>
      </w:pPr>
      <w:r w:rsidRPr="00E5276F">
        <w:t>Decreto 1074 de 2015. Decreto Único Reglamentario del Sector Comercio, Industria y Turismo Presidencia de la República - Ministerio de Comercio, Industria y Turismo</w:t>
      </w:r>
    </w:p>
    <w:p w14:paraId="4AF69615" w14:textId="77777777" w:rsidR="00012AE9" w:rsidRPr="00E5276F" w:rsidRDefault="00012AE9" w:rsidP="00012AE9">
      <w:pPr>
        <w:pStyle w:val="Prrafodelista"/>
        <w:numPr>
          <w:ilvl w:val="0"/>
          <w:numId w:val="2"/>
        </w:numPr>
        <w:ind w:left="567"/>
      </w:pPr>
      <w:r w:rsidRPr="00E5276F">
        <w:t>Decreto 1076 de 2015: Este decreto reglamenta el sector deportivo en Colombia y establece los requisitos y condiciones para la organización de eventos deportivos, incluyendo las competencias de ciclo montañismo.</w:t>
      </w:r>
    </w:p>
    <w:p w14:paraId="70E88FAC" w14:textId="77777777" w:rsidR="00012AE9" w:rsidRPr="00E5276F" w:rsidRDefault="00012AE9" w:rsidP="00012AE9">
      <w:pPr>
        <w:pStyle w:val="Sinespaciado"/>
        <w:numPr>
          <w:ilvl w:val="0"/>
          <w:numId w:val="2"/>
        </w:numPr>
      </w:pPr>
      <w:r w:rsidRPr="00E5276F">
        <w:t xml:space="preserve">Decreto 2175 de 2007. Por el cual se regula la administración y gestión de las carteras colectivas. </w:t>
      </w:r>
    </w:p>
    <w:p w14:paraId="24DCB6D7" w14:textId="77777777" w:rsidR="00012AE9" w:rsidRPr="00E5276F" w:rsidRDefault="00012AE9" w:rsidP="00012AE9">
      <w:pPr>
        <w:pStyle w:val="Sinespaciado"/>
        <w:numPr>
          <w:ilvl w:val="0"/>
          <w:numId w:val="2"/>
        </w:numPr>
      </w:pPr>
      <w:r w:rsidRPr="00E5276F">
        <w:t>Decreto 4466 de 2006. Por el cual se reglamenta el artículo 22 de la Ley 1014 de 2006, sobre constitución de nuevas empresas.</w:t>
      </w:r>
    </w:p>
    <w:p w14:paraId="425F2B99" w14:textId="77777777" w:rsidR="00012AE9" w:rsidRPr="00E5276F" w:rsidRDefault="00012AE9" w:rsidP="00012AE9">
      <w:pPr>
        <w:pStyle w:val="Sinespaciado"/>
        <w:numPr>
          <w:ilvl w:val="0"/>
          <w:numId w:val="2"/>
        </w:numPr>
      </w:pPr>
      <w:r w:rsidRPr="00E5276F">
        <w:t>Decreto 504 de 1997. Reglamentario del Registro Nacional de Turismo Presidencia de la República - Ministerio de Desarrollo Económico hoy Ministerio de Comercio, Industria y Turismo.</w:t>
      </w:r>
    </w:p>
    <w:p w14:paraId="58187016" w14:textId="77777777" w:rsidR="00012AE9" w:rsidRPr="00E5276F" w:rsidRDefault="00012AE9" w:rsidP="00012AE9">
      <w:pPr>
        <w:pStyle w:val="Sinespaciado"/>
        <w:numPr>
          <w:ilvl w:val="0"/>
          <w:numId w:val="2"/>
        </w:numPr>
      </w:pPr>
      <w:r w:rsidRPr="00E5276F">
        <w:t>Decreto 945 de 2014. Consejo Nacional de Seguridad Turística.</w:t>
      </w:r>
    </w:p>
    <w:p w14:paraId="3C90DE39" w14:textId="77777777" w:rsidR="00012AE9" w:rsidRPr="00E5276F" w:rsidRDefault="00012AE9" w:rsidP="00012AE9">
      <w:pPr>
        <w:pStyle w:val="Sinespaciado"/>
        <w:numPr>
          <w:ilvl w:val="0"/>
          <w:numId w:val="2"/>
        </w:numPr>
      </w:pPr>
      <w:r w:rsidRPr="00E5276F">
        <w:t>El decreto 1192 de 2009. Por el cual se reglamenta la Ley 1014 de 2006 sobre el fomento a la cultura del emprendimiento y se dictan otras disposiciones.</w:t>
      </w:r>
    </w:p>
    <w:p w14:paraId="1CAA0F92" w14:textId="77777777" w:rsidR="00012AE9" w:rsidRPr="00E5276F" w:rsidRDefault="00012AE9" w:rsidP="00012AE9">
      <w:pPr>
        <w:pStyle w:val="Sinespaciado"/>
        <w:numPr>
          <w:ilvl w:val="0"/>
          <w:numId w:val="2"/>
        </w:numPr>
      </w:pPr>
      <w:r w:rsidRPr="00E5276F">
        <w:t>El decreto 525 de 2009. Por el cual se reglamenta el artículo 43 de la Ley 590 de 2000, sobre la gradualidad del pago de parafiscales.</w:t>
      </w:r>
    </w:p>
    <w:p w14:paraId="432405DE" w14:textId="77777777" w:rsidR="00012AE9" w:rsidRPr="00E5276F" w:rsidRDefault="00012AE9" w:rsidP="00012AE9">
      <w:pPr>
        <w:pStyle w:val="Sinespaciado"/>
        <w:numPr>
          <w:ilvl w:val="0"/>
          <w:numId w:val="2"/>
        </w:numPr>
      </w:pPr>
      <w:r w:rsidRPr="00E5276F">
        <w:lastRenderedPageBreak/>
        <w:t>La resolución 470 de 2005 de la Superintendencia Financiera. Permite el establecimiento de Fondos de Capital Privado.</w:t>
      </w:r>
    </w:p>
    <w:p w14:paraId="5801E778" w14:textId="77777777" w:rsidR="00012AE9" w:rsidRPr="00E5276F" w:rsidRDefault="00012AE9" w:rsidP="00012AE9">
      <w:pPr>
        <w:pStyle w:val="Sinespaciado"/>
        <w:numPr>
          <w:ilvl w:val="0"/>
          <w:numId w:val="2"/>
        </w:numPr>
      </w:pPr>
      <w:r w:rsidRPr="00E5276F">
        <w:t>La sentencia c–392 de 2007 de la corte constitucional. Las empresas que se creen a partir de la entrada en vigor de dicha ley que tengan hasta 10 empleados y menos de 500 SMMLV se constituyen y vigilan como Empresas Unipersonales.</w:t>
      </w:r>
    </w:p>
    <w:p w14:paraId="5C19CDEB" w14:textId="77777777" w:rsidR="00012AE9" w:rsidRPr="00E5276F" w:rsidRDefault="00012AE9" w:rsidP="00012AE9">
      <w:pPr>
        <w:pStyle w:val="Sinespaciado"/>
        <w:numPr>
          <w:ilvl w:val="0"/>
          <w:numId w:val="2"/>
        </w:numPr>
      </w:pPr>
      <w:r w:rsidRPr="00E5276F">
        <w:t>Ley 1014 de 2006 Política Nacional de Emprendimiento. el Ministerio de Comercio, Industria y Turismo ha asumido importantes retos relacionados con la aplicación de la Ley 1014 de 2006 de Fomento a la Cultura del Emprendimiento, la cual lo compromete como actor responsable de la política pública en la materia.</w:t>
      </w:r>
    </w:p>
    <w:p w14:paraId="64FD9CB7" w14:textId="77777777" w:rsidR="00012AE9" w:rsidRPr="00E5276F" w:rsidRDefault="00012AE9" w:rsidP="00012AE9">
      <w:pPr>
        <w:pStyle w:val="Sinespaciado"/>
        <w:numPr>
          <w:ilvl w:val="0"/>
          <w:numId w:val="2"/>
        </w:numPr>
      </w:pPr>
      <w:r w:rsidRPr="00E5276F">
        <w:t>Ley 1014 de 2006. Por la cual se dictan normas para el fomento a la cultura de emprendimiento empresarial en Colombia. El Ministerio del Comercio, Industria y Turismo, cuenta con el Viceministerio de Desarrollo Empresarial, el cual tiene la misión de consolidar una cultura del emprendimiento en el país y crear redes de institucionales en torno a esta prioridad del Gobierno Nacional.</w:t>
      </w:r>
    </w:p>
    <w:p w14:paraId="70720B58" w14:textId="77777777" w:rsidR="00012AE9" w:rsidRPr="00E5276F" w:rsidRDefault="00012AE9" w:rsidP="00012AE9">
      <w:pPr>
        <w:pStyle w:val="Sinespaciado"/>
        <w:numPr>
          <w:ilvl w:val="0"/>
          <w:numId w:val="2"/>
        </w:numPr>
      </w:pPr>
      <w:r w:rsidRPr="00E5276F">
        <w:t>Ley 1258 de 2008. Estímulo para la creación de empresas. Sociedad por Acciones Simplificada.</w:t>
      </w:r>
    </w:p>
    <w:p w14:paraId="622A1A44" w14:textId="77777777" w:rsidR="00012AE9" w:rsidRPr="00E5276F" w:rsidRDefault="00012AE9" w:rsidP="00012AE9">
      <w:pPr>
        <w:pStyle w:val="Prrafodelista"/>
        <w:numPr>
          <w:ilvl w:val="0"/>
          <w:numId w:val="2"/>
        </w:numPr>
        <w:ind w:left="567"/>
      </w:pPr>
      <w:r w:rsidRPr="00E5276F">
        <w:t>Ley 1333 de 2009: Esta ley establece el régimen sancionatorio ambiental en Colombia y establece medidas para prevenir, controlar y mitigar los impactos ambientales generados por la práctica del ciclo montañismo.</w:t>
      </w:r>
    </w:p>
    <w:p w14:paraId="043E80BE" w14:textId="77777777" w:rsidR="00012AE9" w:rsidRPr="00E5276F" w:rsidRDefault="00012AE9" w:rsidP="00012AE9">
      <w:pPr>
        <w:pStyle w:val="Sinespaciado"/>
        <w:numPr>
          <w:ilvl w:val="0"/>
          <w:numId w:val="2"/>
        </w:numPr>
      </w:pPr>
      <w:r w:rsidRPr="00E5276F">
        <w:t>Ley 1429 de 2010. Incentivos para la formalización y generación de empleo.</w:t>
      </w:r>
    </w:p>
    <w:p w14:paraId="6CDDAAEC" w14:textId="77777777" w:rsidR="00012AE9" w:rsidRPr="00E5276F" w:rsidRDefault="00012AE9" w:rsidP="00012AE9">
      <w:pPr>
        <w:pStyle w:val="Prrafodelista"/>
        <w:numPr>
          <w:ilvl w:val="0"/>
          <w:numId w:val="2"/>
        </w:numPr>
        <w:ind w:left="567"/>
      </w:pPr>
      <w:r w:rsidRPr="00E5276F">
        <w:t>Ley 1558 de 2012: Esta ley establece normas para el fomento y desarrollo del deporte en Colombia, incluyendo la promoción de actividades relacionadas con el ciclismo y el ciclo montañismo.</w:t>
      </w:r>
    </w:p>
    <w:p w14:paraId="6128AE10" w14:textId="77777777" w:rsidR="00060A0E" w:rsidRDefault="00060A0E"/>
    <w:sectPr w:rsidR="00060A0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128A"/>
    <w:multiLevelType w:val="hybridMultilevel"/>
    <w:tmpl w:val="1A50F984"/>
    <w:lvl w:ilvl="0" w:tplc="C042393C">
      <w:start w:val="1"/>
      <w:numFmt w:val="bullet"/>
      <w:pStyle w:val="Prrafodelista"/>
      <w:lvlText w:val=""/>
      <w:lvlJc w:val="left"/>
      <w:pPr>
        <w:ind w:left="2138"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 w15:restartNumberingAfterBreak="0">
    <w:nsid w:val="33421D15"/>
    <w:multiLevelType w:val="multilevel"/>
    <w:tmpl w:val="4A609946"/>
    <w:lvl w:ilvl="0">
      <w:start w:val="1"/>
      <w:numFmt w:val="decimal"/>
      <w:pStyle w:val="Ttulo1"/>
      <w:lvlText w:val="%1."/>
      <w:lvlJc w:val="left"/>
      <w:pPr>
        <w:ind w:left="720" w:hanging="360"/>
      </w:pPr>
      <w:rPr>
        <w:rFonts w:hint="default"/>
      </w:rPr>
    </w:lvl>
    <w:lvl w:ilvl="1">
      <w:start w:val="1"/>
      <w:numFmt w:val="decimal"/>
      <w:pStyle w:val="Ttulo2"/>
      <w:isLgl/>
      <w:suff w:val="space"/>
      <w:lvlText w:val="%1.%2."/>
      <w:lvlJc w:val="left"/>
      <w:pPr>
        <w:ind w:left="840" w:hanging="840"/>
      </w:pPr>
      <w:rPr>
        <w:rFonts w:hint="default"/>
      </w:rPr>
    </w:lvl>
    <w:lvl w:ilvl="2">
      <w:start w:val="1"/>
      <w:numFmt w:val="decimal"/>
      <w:pStyle w:val="Ttulo3"/>
      <w:isLgl/>
      <w:suff w:val="space"/>
      <w:lvlText w:val="%1.%2.%3."/>
      <w:lvlJc w:val="left"/>
      <w:pPr>
        <w:ind w:left="0" w:firstLine="0"/>
      </w:pPr>
      <w:rPr>
        <w:rFonts w:hint="default"/>
      </w:rPr>
    </w:lvl>
    <w:lvl w:ilvl="3">
      <w:start w:val="1"/>
      <w:numFmt w:val="decimal"/>
      <w:pStyle w:val="Ttulo4"/>
      <w:isLgl/>
      <w:suff w:val="space"/>
      <w:lvlText w:val="%1.%2.%3.%4."/>
      <w:lvlJc w:val="left"/>
      <w:pPr>
        <w:ind w:left="0" w:firstLine="720"/>
      </w:pPr>
      <w:rPr>
        <w:rFonts w:hint="default"/>
        <w:b/>
        <w:bCs w:val="0"/>
        <w:i w:val="0"/>
        <w:iCs w:val="0"/>
      </w:rPr>
    </w:lvl>
    <w:lvl w:ilvl="4">
      <w:start w:val="1"/>
      <w:numFmt w:val="decimal"/>
      <w:pStyle w:val="Ttulo5"/>
      <w:isLgl/>
      <w:lvlText w:val="%1.%2.%3.%4.%5."/>
      <w:lvlJc w:val="left"/>
      <w:pPr>
        <w:ind w:left="1440" w:hanging="108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4D3029C"/>
    <w:multiLevelType w:val="hybridMultilevel"/>
    <w:tmpl w:val="9640BA5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AE9"/>
    <w:rsid w:val="00012AE9"/>
    <w:rsid w:val="00060A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6F0BB"/>
  <w15:chartTrackingRefBased/>
  <w15:docId w15:val="{C847F3EC-64B4-4BF1-A8F7-B7A22962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AE9"/>
    <w:pPr>
      <w:spacing w:after="0" w:line="480" w:lineRule="auto"/>
      <w:ind w:firstLine="709"/>
      <w:jc w:val="both"/>
    </w:pPr>
    <w:rPr>
      <w:rFonts w:ascii="Times New Roman" w:eastAsia="Calibri" w:hAnsi="Times New Roman" w:cs="Times New Roman"/>
      <w:sz w:val="24"/>
    </w:rPr>
  </w:style>
  <w:style w:type="paragraph" w:styleId="Ttulo1">
    <w:name w:val="heading 1"/>
    <w:basedOn w:val="Normal"/>
    <w:link w:val="Ttulo1Car"/>
    <w:autoRedefine/>
    <w:uiPriority w:val="9"/>
    <w:qFormat/>
    <w:rsid w:val="00012AE9"/>
    <w:pPr>
      <w:numPr>
        <w:numId w:val="1"/>
      </w:numPr>
      <w:spacing w:after="240"/>
      <w:jc w:val="center"/>
      <w:outlineLvl w:val="0"/>
    </w:pPr>
    <w:rPr>
      <w:rFonts w:eastAsia="Times New Roman" w:cs="Arial"/>
      <w:b/>
      <w:bCs/>
      <w:kern w:val="36"/>
      <w:szCs w:val="24"/>
    </w:rPr>
  </w:style>
  <w:style w:type="paragraph" w:styleId="Ttulo2">
    <w:name w:val="heading 2"/>
    <w:basedOn w:val="Normal"/>
    <w:next w:val="Normal"/>
    <w:link w:val="Ttulo2Car"/>
    <w:autoRedefine/>
    <w:uiPriority w:val="9"/>
    <w:unhideWhenUsed/>
    <w:qFormat/>
    <w:rsid w:val="00012AE9"/>
    <w:pPr>
      <w:keepNext/>
      <w:keepLines/>
      <w:numPr>
        <w:ilvl w:val="1"/>
        <w:numId w:val="1"/>
      </w:numPr>
      <w:outlineLvl w:val="1"/>
    </w:pPr>
    <w:rPr>
      <w:rFonts w:eastAsia="Times New Roman"/>
      <w:b/>
      <w:szCs w:val="26"/>
    </w:rPr>
  </w:style>
  <w:style w:type="paragraph" w:styleId="Ttulo3">
    <w:name w:val="heading 3"/>
    <w:basedOn w:val="Normal"/>
    <w:next w:val="Normal"/>
    <w:link w:val="Ttulo3Car"/>
    <w:autoRedefine/>
    <w:uiPriority w:val="9"/>
    <w:unhideWhenUsed/>
    <w:qFormat/>
    <w:rsid w:val="00012AE9"/>
    <w:pPr>
      <w:keepNext/>
      <w:keepLines/>
      <w:numPr>
        <w:ilvl w:val="2"/>
        <w:numId w:val="1"/>
      </w:numPr>
      <w:outlineLvl w:val="2"/>
    </w:pPr>
    <w:rPr>
      <w:rFonts w:eastAsia="Times New Roman"/>
      <w:b/>
      <w:i/>
      <w:iCs/>
      <w:color w:val="000000"/>
      <w:szCs w:val="24"/>
    </w:rPr>
  </w:style>
  <w:style w:type="paragraph" w:styleId="Ttulo4">
    <w:name w:val="heading 4"/>
    <w:basedOn w:val="Ttulo3"/>
    <w:next w:val="Normal"/>
    <w:link w:val="Ttulo4Car"/>
    <w:uiPriority w:val="9"/>
    <w:unhideWhenUsed/>
    <w:qFormat/>
    <w:rsid w:val="00012AE9"/>
    <w:pPr>
      <w:keepNext w:val="0"/>
      <w:keepLines w:val="0"/>
      <w:widowControl w:val="0"/>
      <w:numPr>
        <w:ilvl w:val="3"/>
      </w:numPr>
      <w:outlineLvl w:val="3"/>
    </w:pPr>
    <w:rPr>
      <w:i w:val="0"/>
      <w:iCs w:val="0"/>
    </w:rPr>
  </w:style>
  <w:style w:type="paragraph" w:styleId="Ttulo5">
    <w:name w:val="heading 5"/>
    <w:basedOn w:val="Normal"/>
    <w:next w:val="Normal"/>
    <w:link w:val="Ttulo5Car"/>
    <w:uiPriority w:val="9"/>
    <w:unhideWhenUsed/>
    <w:qFormat/>
    <w:rsid w:val="00012AE9"/>
    <w:pPr>
      <w:numPr>
        <w:ilvl w:val="4"/>
        <w:numId w:val="1"/>
      </w:numPr>
      <w:ind w:left="0" w:hanging="22"/>
      <w:outlineLvl w:val="4"/>
    </w:pPr>
    <w:rPr>
      <w:rFonts w:eastAsia="Times New Roman"/>
      <w:b/>
      <w:bCs/>
      <w:i/>
      <w:iCs/>
      <w:noProo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12AE9"/>
    <w:rPr>
      <w:rFonts w:ascii="Times New Roman" w:eastAsia="Times New Roman" w:hAnsi="Times New Roman" w:cs="Arial"/>
      <w:b/>
      <w:bCs/>
      <w:kern w:val="36"/>
      <w:sz w:val="24"/>
      <w:szCs w:val="24"/>
    </w:rPr>
  </w:style>
  <w:style w:type="character" w:customStyle="1" w:styleId="Ttulo2Car">
    <w:name w:val="Título 2 Car"/>
    <w:basedOn w:val="Fuentedeprrafopredeter"/>
    <w:link w:val="Ttulo2"/>
    <w:uiPriority w:val="9"/>
    <w:rsid w:val="00012AE9"/>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012AE9"/>
    <w:rPr>
      <w:rFonts w:ascii="Times New Roman" w:eastAsia="Times New Roman" w:hAnsi="Times New Roman" w:cs="Times New Roman"/>
      <w:b/>
      <w:i/>
      <w:iCs/>
      <w:color w:val="000000"/>
      <w:sz w:val="24"/>
      <w:szCs w:val="24"/>
    </w:rPr>
  </w:style>
  <w:style w:type="character" w:customStyle="1" w:styleId="Ttulo4Car">
    <w:name w:val="Título 4 Car"/>
    <w:basedOn w:val="Fuentedeprrafopredeter"/>
    <w:link w:val="Ttulo4"/>
    <w:uiPriority w:val="9"/>
    <w:rsid w:val="00012AE9"/>
    <w:rPr>
      <w:rFonts w:ascii="Times New Roman" w:eastAsia="Times New Roman" w:hAnsi="Times New Roman" w:cs="Times New Roman"/>
      <w:b/>
      <w:color w:val="000000"/>
      <w:sz w:val="24"/>
      <w:szCs w:val="24"/>
    </w:rPr>
  </w:style>
  <w:style w:type="character" w:customStyle="1" w:styleId="Ttulo5Car">
    <w:name w:val="Título 5 Car"/>
    <w:basedOn w:val="Fuentedeprrafopredeter"/>
    <w:link w:val="Ttulo5"/>
    <w:uiPriority w:val="9"/>
    <w:rsid w:val="00012AE9"/>
    <w:rPr>
      <w:rFonts w:ascii="Times New Roman" w:eastAsia="Times New Roman" w:hAnsi="Times New Roman" w:cs="Times New Roman"/>
      <w:b/>
      <w:bCs/>
      <w:i/>
      <w:iCs/>
      <w:noProof/>
      <w:sz w:val="24"/>
      <w:szCs w:val="24"/>
    </w:rPr>
  </w:style>
  <w:style w:type="paragraph" w:styleId="Prrafodelista">
    <w:name w:val="List Paragraph"/>
    <w:basedOn w:val="Normal"/>
    <w:link w:val="PrrafodelistaCar"/>
    <w:autoRedefine/>
    <w:uiPriority w:val="34"/>
    <w:qFormat/>
    <w:rsid w:val="00012AE9"/>
    <w:pPr>
      <w:numPr>
        <w:numId w:val="3"/>
      </w:numPr>
    </w:pPr>
  </w:style>
  <w:style w:type="paragraph" w:styleId="Sinespaciado">
    <w:name w:val="No Spacing"/>
    <w:aliases w:val="APA NORMAL"/>
    <w:link w:val="SinespaciadoCar"/>
    <w:uiPriority w:val="1"/>
    <w:qFormat/>
    <w:rsid w:val="00012AE9"/>
    <w:pPr>
      <w:spacing w:after="0" w:line="480" w:lineRule="auto"/>
      <w:ind w:firstLine="720"/>
      <w:jc w:val="both"/>
    </w:pPr>
    <w:rPr>
      <w:rFonts w:ascii="Times New Roman" w:eastAsia="Calibri" w:hAnsi="Times New Roman" w:cs="Times New Roman"/>
      <w:sz w:val="24"/>
    </w:rPr>
  </w:style>
  <w:style w:type="character" w:customStyle="1" w:styleId="SinespaciadoCar">
    <w:name w:val="Sin espaciado Car"/>
    <w:aliases w:val="APA NORMAL Car"/>
    <w:link w:val="Sinespaciado"/>
    <w:uiPriority w:val="1"/>
    <w:rsid w:val="00012AE9"/>
    <w:rPr>
      <w:rFonts w:ascii="Times New Roman" w:eastAsia="Calibri" w:hAnsi="Times New Roman" w:cs="Times New Roman"/>
      <w:sz w:val="24"/>
    </w:rPr>
  </w:style>
  <w:style w:type="character" w:customStyle="1" w:styleId="PrrafodelistaCar">
    <w:name w:val="Párrafo de lista Car"/>
    <w:link w:val="Prrafodelista"/>
    <w:uiPriority w:val="34"/>
    <w:rsid w:val="00012AE9"/>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2880</Words>
  <Characters>15842</Characters>
  <Application>Microsoft Office Word</Application>
  <DocSecurity>0</DocSecurity>
  <Lines>132</Lines>
  <Paragraphs>37</Paragraphs>
  <ScaleCrop>false</ScaleCrop>
  <Company/>
  <LinksUpToDate>false</LinksUpToDate>
  <CharactersWithSpaces>18685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2023-09-24T22:42:00Z</dcterms:created>
  <dcterms:modified xsi:type="dcterms:W3CDTF">2023-09-24T22:44:00Z</dcterms:modified>
</cp:coreProperties>
</file>